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spacing w:beforeLines="70" w:afterLines="50" w:line="360" w:lineRule="auto"/>
        <w:rPr>
          <w:b/>
          <w:sz w:val="48"/>
          <w:szCs w:val="48"/>
        </w:rPr>
      </w:pPr>
      <w:r>
        <w:rPr>
          <w:rFonts w:hint="eastAsia"/>
          <w:b/>
          <w:sz w:val="48"/>
          <w:szCs w:val="48"/>
        </w:rPr>
        <w:t>北京邮电大学学历继续教育</w:t>
      </w:r>
    </w:p>
    <w:tbl>
      <w:tblPr>
        <w:tblStyle w:val="6"/>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818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188" w:type="dxa"/>
            <w:vAlign w:val="center"/>
          </w:tcPr>
          <w:p>
            <w:pPr>
              <w:pStyle w:val="4"/>
              <w:spacing w:line="360" w:lineRule="auto"/>
              <w:jc w:val="both"/>
              <w:rPr>
                <w:sz w:val="24"/>
                <w:szCs w:val="24"/>
              </w:rPr>
            </w:pPr>
            <w:r>
              <w:rPr>
                <w:rFonts w:hint="eastAsia"/>
                <w:sz w:val="24"/>
                <w:szCs w:val="24"/>
              </w:rPr>
              <w:t>课程名称：电路与信号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188" w:type="dxa"/>
            <w:vAlign w:val="center"/>
          </w:tcPr>
          <w:p>
            <w:pPr>
              <w:pStyle w:val="4"/>
              <w:spacing w:line="360" w:lineRule="auto"/>
              <w:jc w:val="both"/>
              <w:rPr>
                <w:sz w:val="24"/>
                <w:szCs w:val="24"/>
              </w:rPr>
            </w:pPr>
            <w:r>
              <w:rPr>
                <w:rFonts w:hint="eastAsia"/>
                <w:sz w:val="24"/>
                <w:szCs w:val="24"/>
              </w:rPr>
              <w:t>课程代码：10013020</w:t>
            </w:r>
          </w:p>
        </w:tc>
      </w:tr>
    </w:tbl>
    <w:p>
      <w:pPr>
        <w:pStyle w:val="4"/>
        <w:spacing w:line="360" w:lineRule="auto"/>
        <w:jc w:val="both"/>
        <w:rPr>
          <w:rFonts w:hint="eastAsia"/>
          <w:sz w:val="24"/>
          <w:szCs w:val="24"/>
        </w:rPr>
      </w:pPr>
      <w:r>
        <w:rPr>
          <w:rFonts w:hint="eastAsia"/>
          <w:sz w:val="24"/>
          <w:szCs w:val="24"/>
        </w:rPr>
        <w:t>考试说明：</w:t>
      </w:r>
    </w:p>
    <w:p>
      <w:r>
        <w:rPr>
          <w:rFonts w:hint="eastAsia"/>
        </w:rPr>
        <w:t>提示：</w:t>
      </w:r>
    </w:p>
    <w:p>
      <w:r>
        <w:rPr>
          <w:rFonts w:hint="eastAsia"/>
        </w:rPr>
        <w:t>1、请考生务必在学院考试通知中下载答题纸模板，用A4纸打印，按要求在答题纸上填写信息，并手写作答。</w:t>
      </w:r>
    </w:p>
    <w:p>
      <w:r>
        <w:rPr>
          <w:rFonts w:hint="eastAsia"/>
        </w:rPr>
        <w:t>2、凡非手写作答的，一律视为无效答卷。</w:t>
      </w:r>
    </w:p>
    <w:p>
      <w:pPr>
        <w:spacing w:line="360" w:lineRule="auto"/>
        <w:rPr>
          <w:szCs w:val="21"/>
        </w:rPr>
      </w:pPr>
    </w:p>
    <w:p>
      <w:r>
        <w:rPr>
          <w:rFonts w:hint="eastAsia" w:ascii="宋体" w:hAnsi="宋体"/>
          <w:b/>
          <w:szCs w:val="21"/>
        </w:rPr>
        <w:t>一、基础题（本大题共3小题，每小题25分，共75分）</w:t>
      </w:r>
    </w:p>
    <w:p>
      <w:pPr>
        <w:rPr>
          <w:rFonts w:hint="eastAsia"/>
        </w:rPr>
      </w:pPr>
      <w:r>
        <w:rPr>
          <w:rFonts w:hint="eastAsia"/>
        </w:rPr>
        <w:t>1.写出阶跃信号</w:t>
      </w:r>
      <w:r>
        <w:drawing>
          <wp:inline distT="0" distB="0" distL="0" distR="0">
            <wp:extent cx="520700" cy="24130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5"/>
                    <a:stretch>
                      <a:fillRect/>
                    </a:stretch>
                  </pic:blipFill>
                  <pic:spPr>
                    <a:xfrm>
                      <a:off x="0" y="0"/>
                      <a:ext cx="520700" cy="241300"/>
                    </a:xfrm>
                    <a:prstGeom prst="rect">
                      <a:avLst/>
                    </a:prstGeom>
                  </pic:spPr>
                </pic:pic>
              </a:graphicData>
            </a:graphic>
          </wp:inline>
        </w:drawing>
      </w:r>
      <w:r>
        <w:rPr>
          <w:rFonts w:hint="eastAsia"/>
        </w:rPr>
        <w:t>的定义式，画出其波形，简要说明阶跃信号的特性。</w:t>
      </w:r>
    </w:p>
    <w:p>
      <w:pPr>
        <w:rPr>
          <w:rFonts w:hint="eastAsia" w:eastAsia="宋体"/>
          <w:lang w:eastAsia="zh-CN"/>
        </w:rPr>
      </w:pPr>
      <w:r>
        <w:rPr>
          <w:rFonts w:hint="eastAsia"/>
          <w:lang w:eastAsia="zh-CN"/>
        </w:rPr>
        <w:t>答：</w:t>
      </w:r>
    </w:p>
    <w:p>
      <w:pPr>
        <w:rPr>
          <w:rFonts w:hint="eastAsia"/>
        </w:rPr>
      </w:pPr>
      <w:r>
        <w:drawing>
          <wp:inline distT="0" distB="0" distL="114300" distR="114300">
            <wp:extent cx="5269230" cy="2359660"/>
            <wp:effectExtent l="0" t="0" r="7620" b="2540"/>
            <wp:docPr id="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pic:cNvPicPr>
                      <a:picLocks noChangeAspect="1"/>
                    </pic:cNvPicPr>
                  </pic:nvPicPr>
                  <pic:blipFill>
                    <a:blip r:embed="rId6"/>
                    <a:stretch>
                      <a:fillRect/>
                    </a:stretch>
                  </pic:blipFill>
                  <pic:spPr>
                    <a:xfrm>
                      <a:off x="0" y="0"/>
                      <a:ext cx="5269230" cy="2359660"/>
                    </a:xfrm>
                    <a:prstGeom prst="rect">
                      <a:avLst/>
                    </a:prstGeom>
                    <a:noFill/>
                    <a:ln>
                      <a:noFill/>
                    </a:ln>
                  </pic:spPr>
                </pic:pic>
              </a:graphicData>
            </a:graphic>
          </wp:inline>
        </w:drawing>
      </w:r>
    </w:p>
    <w:p>
      <w:pPr>
        <w:spacing w:line="400" w:lineRule="exact"/>
        <w:rPr>
          <w:rFonts w:ascii="宋体" w:hAnsi="宋体"/>
          <w:b/>
          <w:sz w:val="28"/>
          <w:szCs w:val="28"/>
        </w:rPr>
      </w:pPr>
    </w:p>
    <w:p>
      <w:pPr>
        <w:numPr>
          <w:ilvl w:val="0"/>
          <w:numId w:val="1"/>
        </w:numPr>
        <w:rPr>
          <w:rFonts w:hint="eastAsia"/>
        </w:rPr>
      </w:pPr>
      <w:r>
        <w:rPr>
          <w:rFonts w:hint="eastAsia"/>
        </w:rPr>
        <w:t>请写出周期信号三角形式的傅氏级数。</w:t>
      </w:r>
    </w:p>
    <w:p>
      <w:pPr>
        <w:numPr>
          <w:numId w:val="0"/>
        </w:numPr>
        <w:rPr>
          <w:rFonts w:hint="eastAsia" w:eastAsia="宋体"/>
          <w:lang w:eastAsia="zh-CN"/>
        </w:rPr>
      </w:pPr>
      <w:r>
        <w:rPr>
          <w:rFonts w:hint="eastAsia"/>
          <w:lang w:eastAsia="zh-CN"/>
        </w:rPr>
        <w:t>答：</w:t>
      </w:r>
    </w:p>
    <w:p>
      <w:pPr>
        <w:numPr>
          <w:numId w:val="0"/>
        </w:numPr>
        <w:rPr>
          <w:rFonts w:hint="eastAsia"/>
        </w:rPr>
      </w:pPr>
      <w:r>
        <w:drawing>
          <wp:inline distT="0" distB="0" distL="114300" distR="114300">
            <wp:extent cx="5269230" cy="3181985"/>
            <wp:effectExtent l="0" t="0" r="7620" b="18415"/>
            <wp:docPr id="4"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3"/>
                    <pic:cNvPicPr>
                      <a:picLocks noChangeAspect="1"/>
                    </pic:cNvPicPr>
                  </pic:nvPicPr>
                  <pic:blipFill>
                    <a:blip r:embed="rId7"/>
                    <a:stretch>
                      <a:fillRect/>
                    </a:stretch>
                  </pic:blipFill>
                  <pic:spPr>
                    <a:xfrm>
                      <a:off x="0" y="0"/>
                      <a:ext cx="5269230" cy="3181985"/>
                    </a:xfrm>
                    <a:prstGeom prst="rect">
                      <a:avLst/>
                    </a:prstGeom>
                    <a:noFill/>
                    <a:ln>
                      <a:noFill/>
                    </a:ln>
                  </pic:spPr>
                </pic:pic>
              </a:graphicData>
            </a:graphic>
          </wp:inline>
        </w:drawing>
      </w:r>
    </w:p>
    <w:p>
      <w:pPr>
        <w:spacing w:line="400" w:lineRule="exact"/>
        <w:rPr>
          <w:rFonts w:ascii="宋体" w:hAnsi="宋体"/>
          <w:b/>
          <w:sz w:val="28"/>
          <w:szCs w:val="28"/>
        </w:rPr>
      </w:pPr>
    </w:p>
    <w:p>
      <w:pPr>
        <w:numPr>
          <w:ilvl w:val="0"/>
          <w:numId w:val="2"/>
        </w:numPr>
        <w:rPr>
          <w:rFonts w:hint="eastAsia"/>
        </w:rPr>
      </w:pPr>
      <w:r>
        <w:rPr>
          <w:rFonts w:hint="eastAsia"/>
        </w:rPr>
        <w:t>画出正弦信号</w:t>
      </w:r>
      <w:r>
        <w:drawing>
          <wp:inline distT="0" distB="0" distL="0" distR="0">
            <wp:extent cx="1270000" cy="241300"/>
            <wp:effectExtent l="0" t="0" r="0"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r:embed="rId8"/>
                    <a:stretch>
                      <a:fillRect/>
                    </a:stretch>
                  </pic:blipFill>
                  <pic:spPr>
                    <a:xfrm>
                      <a:off x="0" y="0"/>
                      <a:ext cx="1270000" cy="241300"/>
                    </a:xfrm>
                    <a:prstGeom prst="rect">
                      <a:avLst/>
                    </a:prstGeom>
                  </pic:spPr>
                </pic:pic>
              </a:graphicData>
            </a:graphic>
          </wp:inline>
        </w:drawing>
      </w:r>
      <w:r>
        <w:rPr>
          <w:rFonts w:hint="eastAsia"/>
        </w:rPr>
        <w:t>的波形（至少一个周期），简述正弦信号的特征量，说明正弦函数的角频率</w:t>
      </w:r>
      <w:r>
        <w:drawing>
          <wp:inline distT="0" distB="0" distL="0" distR="0">
            <wp:extent cx="88900" cy="241300"/>
            <wp:effectExtent l="0" t="0" r="0"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r:embed="rId9"/>
                    <a:stretch>
                      <a:fillRect/>
                    </a:stretch>
                  </pic:blipFill>
                  <pic:spPr>
                    <a:xfrm>
                      <a:off x="0" y="0"/>
                      <a:ext cx="88900" cy="241300"/>
                    </a:xfrm>
                    <a:prstGeom prst="rect">
                      <a:avLst/>
                    </a:prstGeom>
                  </pic:spPr>
                </pic:pic>
              </a:graphicData>
            </a:graphic>
          </wp:inline>
        </w:drawing>
      </w:r>
      <w:r>
        <w:rPr>
          <w:rFonts w:hint="eastAsia"/>
        </w:rPr>
        <w:t>、周期</w:t>
      </w:r>
      <w:r>
        <w:drawing>
          <wp:inline distT="0" distB="0" distL="0" distR="0">
            <wp:extent cx="63500" cy="241300"/>
            <wp:effectExtent l="0" t="0" r="0"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pic:cNvPicPr>
                  </pic:nvPicPr>
                  <pic:blipFill>
                    <a:blip r:embed="rId10"/>
                    <a:stretch>
                      <a:fillRect/>
                    </a:stretch>
                  </pic:blipFill>
                  <pic:spPr>
                    <a:xfrm>
                      <a:off x="0" y="0"/>
                      <a:ext cx="63500" cy="241300"/>
                    </a:xfrm>
                    <a:prstGeom prst="rect">
                      <a:avLst/>
                    </a:prstGeom>
                  </pic:spPr>
                </pic:pic>
              </a:graphicData>
            </a:graphic>
          </wp:inline>
        </w:drawing>
      </w:r>
      <w:r>
        <w:rPr>
          <w:rFonts w:hint="eastAsia"/>
        </w:rPr>
        <w:t>和频率</w:t>
      </w:r>
      <w:r>
        <w:drawing>
          <wp:inline distT="0" distB="0" distL="0" distR="0">
            <wp:extent cx="63500" cy="241300"/>
            <wp:effectExtent l="0" t="0" r="0" b="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pic:cNvPicPr>
                      <a:picLocks noChangeAspect="1"/>
                    </pic:cNvPicPr>
                  </pic:nvPicPr>
                  <pic:blipFill>
                    <a:blip r:embed="rId11"/>
                    <a:stretch>
                      <a:fillRect/>
                    </a:stretch>
                  </pic:blipFill>
                  <pic:spPr>
                    <a:xfrm>
                      <a:off x="0" y="0"/>
                      <a:ext cx="63500" cy="241300"/>
                    </a:xfrm>
                    <a:prstGeom prst="rect">
                      <a:avLst/>
                    </a:prstGeom>
                  </pic:spPr>
                </pic:pic>
              </a:graphicData>
            </a:graphic>
          </wp:inline>
        </w:drawing>
      </w:r>
      <w:r>
        <w:rPr>
          <w:rFonts w:hint="eastAsia"/>
        </w:rPr>
        <w:t>之间关系。</w:t>
      </w:r>
    </w:p>
    <w:p>
      <w:pPr>
        <w:numPr>
          <w:numId w:val="0"/>
        </w:numPr>
        <w:rPr>
          <w:rFonts w:hint="eastAsia"/>
        </w:rPr>
      </w:pPr>
      <w:r>
        <w:drawing>
          <wp:inline distT="0" distB="0" distL="114300" distR="114300">
            <wp:extent cx="5267960" cy="3370580"/>
            <wp:effectExtent l="0" t="0" r="8890" b="1270"/>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12"/>
                    <a:stretch>
                      <a:fillRect/>
                    </a:stretch>
                  </pic:blipFill>
                  <pic:spPr>
                    <a:xfrm>
                      <a:off x="0" y="0"/>
                      <a:ext cx="5267960" cy="3370580"/>
                    </a:xfrm>
                    <a:prstGeom prst="rect">
                      <a:avLst/>
                    </a:prstGeom>
                    <a:noFill/>
                    <a:ln>
                      <a:noFill/>
                    </a:ln>
                  </pic:spPr>
                </pic:pic>
              </a:graphicData>
            </a:graphic>
          </wp:inline>
        </w:drawing>
      </w:r>
    </w:p>
    <w:p>
      <w:pPr>
        <w:spacing w:line="400" w:lineRule="exact"/>
        <w:rPr>
          <w:rFonts w:ascii="宋体" w:hAnsi="宋体"/>
          <w:b/>
          <w:sz w:val="28"/>
          <w:szCs w:val="28"/>
        </w:rPr>
      </w:pPr>
    </w:p>
    <w:p>
      <w:r>
        <w:rPr>
          <w:rFonts w:hint="eastAsia" w:ascii="宋体" w:hAnsi="宋体"/>
          <w:b/>
          <w:szCs w:val="21"/>
        </w:rPr>
        <w:t>二、开放题（本大题共1小题，每小题25分，共25分）</w:t>
      </w:r>
    </w:p>
    <w:p>
      <w:r>
        <w:rPr>
          <w:rFonts w:hint="eastAsia"/>
        </w:rPr>
        <w:t>1.请简述你对关联参考方向和非关联参考方向概念的理解。</w:t>
      </w:r>
    </w:p>
    <w:p>
      <w:pPr>
        <w:spacing w:line="400" w:lineRule="exact"/>
        <w:rPr>
          <w:rFonts w:hint="eastAsia" w:ascii="微软雅黑" w:hAnsi="微软雅黑" w:eastAsia="微软雅黑" w:cs="微软雅黑"/>
          <w:i w:val="0"/>
          <w:caps w:val="0"/>
          <w:color w:val="333333"/>
          <w:spacing w:val="0"/>
          <w:sz w:val="21"/>
          <w:szCs w:val="21"/>
          <w:shd w:val="clear" w:fill="FFFFFF"/>
          <w:lang w:eastAsia="zh-CN"/>
        </w:rPr>
      </w:pPr>
      <w:r>
        <w:rPr>
          <w:rFonts w:hint="eastAsia" w:ascii="微软雅黑" w:hAnsi="微软雅黑" w:eastAsia="微软雅黑" w:cs="微软雅黑"/>
          <w:i w:val="0"/>
          <w:caps w:val="0"/>
          <w:color w:val="333333"/>
          <w:spacing w:val="0"/>
          <w:sz w:val="24"/>
          <w:szCs w:val="24"/>
          <w:shd w:val="clear" w:fill="FFFFFF"/>
        </w:rPr>
        <w:t>当一段电路上的电流、电压参考方向一致时称他们为关联的参考方向！参考方向确定后其值可正可负当这段电路计算出的功率为正表示这段电路吸收功率（也就是负载）功率为负表示该段电路发出功率（也就是电源）在通俗点讲就是得出功率为正就是吸收功率、负为发出功率，再教你个办法电流的方向指向电源的正极就是负载就是用电器，指向负极就是电源。</w:t>
      </w:r>
      <w:r>
        <w:rPr>
          <w:rFonts w:hint="eastAsia" w:ascii="微软雅黑" w:hAnsi="微软雅黑" w:eastAsia="微软雅黑" w:cs="微软雅黑"/>
          <w:i w:val="0"/>
          <w:caps w:val="0"/>
          <w:color w:val="333333"/>
          <w:spacing w:val="0"/>
          <w:sz w:val="21"/>
          <w:szCs w:val="21"/>
          <w:shd w:val="clear" w:fill="FFFFFF"/>
        </w:rPr>
        <w:t>对于一个电路元件,当它的电压和电流的参考方向一致时,通常称为关联参考方向；在关联参考方向情况下,若元件功率为正值,表明该元件消耗功率；相反,若元件功率为负值</w:t>
      </w:r>
      <w:r>
        <w:rPr>
          <w:rFonts w:hint="eastAsia" w:ascii="微软雅黑" w:hAnsi="微软雅黑" w:eastAsia="微软雅黑" w:cs="微软雅黑"/>
          <w:i w:val="0"/>
          <w:caps w:val="0"/>
          <w:color w:val="333333"/>
          <w:spacing w:val="0"/>
          <w:sz w:val="21"/>
          <w:szCs w:val="21"/>
          <w:shd w:val="clear" w:fill="FFFFFF"/>
          <w:lang w:eastAsia="zh-CN"/>
        </w:rPr>
        <w:t>。</w:t>
      </w:r>
    </w:p>
    <w:p>
      <w:pPr>
        <w:spacing w:line="400" w:lineRule="exact"/>
        <w:rPr>
          <w:rFonts w:hint="eastAsia" w:ascii="微软雅黑" w:hAnsi="微软雅黑" w:eastAsia="微软雅黑" w:cs="微软雅黑"/>
          <w:i w:val="0"/>
          <w:caps w:val="0"/>
          <w:color w:val="333333"/>
          <w:spacing w:val="0"/>
          <w:sz w:val="21"/>
          <w:szCs w:val="21"/>
          <w:shd w:val="clear" w:fill="FFFFFF"/>
          <w:lang w:eastAsia="zh-CN"/>
        </w:rPr>
      </w:pPr>
      <w:r>
        <w:rPr>
          <w:rFonts w:ascii="微软雅黑" w:hAnsi="微软雅黑" w:eastAsia="微软雅黑" w:cs="微软雅黑"/>
          <w:i w:val="0"/>
          <w:caps w:val="0"/>
          <w:color w:val="666666"/>
          <w:spacing w:val="0"/>
          <w:sz w:val="24"/>
          <w:szCs w:val="24"/>
          <w:shd w:val="clear" w:fill="FFFFFF"/>
        </w:rPr>
        <w:t>1、对于一个电路元件,当它的电压和电流的参考方向一致时,通常称为关联参考方向；</w:t>
      </w:r>
      <w:r>
        <w:rPr>
          <w:rFonts w:hint="eastAsia" w:ascii="微软雅黑" w:hAnsi="微软雅黑" w:eastAsia="微软雅黑" w:cs="微软雅黑"/>
          <w:i w:val="0"/>
          <w:caps w:val="0"/>
          <w:color w:val="666666"/>
          <w:spacing w:val="0"/>
          <w:sz w:val="24"/>
          <w:szCs w:val="24"/>
          <w:shd w:val="clear" w:fill="FFFFFF"/>
        </w:rPr>
        <w:br w:type="textWrapping"/>
      </w:r>
      <w:r>
        <w:rPr>
          <w:rFonts w:hint="eastAsia" w:ascii="微软雅黑" w:hAnsi="微软雅黑" w:eastAsia="微软雅黑" w:cs="微软雅黑"/>
          <w:i w:val="0"/>
          <w:caps w:val="0"/>
          <w:color w:val="666666"/>
          <w:spacing w:val="0"/>
          <w:sz w:val="24"/>
          <w:szCs w:val="24"/>
          <w:shd w:val="clear" w:fill="FFFFFF"/>
        </w:rPr>
        <w:t>2、在关联参考方向情况下,若元件功率为正值,表明该元件消耗功率；相反,若元件功率为负值,表明该元件发出功率.</w:t>
      </w:r>
      <w:r>
        <w:rPr>
          <w:rFonts w:hint="eastAsia" w:ascii="微软雅黑" w:hAnsi="微软雅黑" w:eastAsia="微软雅黑" w:cs="微软雅黑"/>
          <w:i w:val="0"/>
          <w:caps w:val="0"/>
          <w:color w:val="666666"/>
          <w:spacing w:val="0"/>
          <w:sz w:val="24"/>
          <w:szCs w:val="24"/>
          <w:shd w:val="clear" w:fill="FFFFFF"/>
        </w:rPr>
        <w:br w:type="textWrapping"/>
      </w:r>
      <w:r>
        <w:rPr>
          <w:rFonts w:hint="eastAsia" w:ascii="微软雅黑" w:hAnsi="微软雅黑" w:eastAsia="微软雅黑" w:cs="微软雅黑"/>
          <w:i w:val="0"/>
          <w:caps w:val="0"/>
          <w:color w:val="666666"/>
          <w:spacing w:val="0"/>
          <w:sz w:val="24"/>
          <w:szCs w:val="24"/>
          <w:shd w:val="clear" w:fill="FFFFFF"/>
        </w:rPr>
        <w:t>3、当一个电路元件的电压和电流的参考方向相反时,通常称为非关联参考方向.</w:t>
      </w:r>
      <w:r>
        <w:rPr>
          <w:rFonts w:hint="eastAsia" w:ascii="微软雅黑" w:hAnsi="微软雅黑" w:eastAsia="微软雅黑" w:cs="微软雅黑"/>
          <w:i w:val="0"/>
          <w:caps w:val="0"/>
          <w:color w:val="666666"/>
          <w:spacing w:val="0"/>
          <w:sz w:val="24"/>
          <w:szCs w:val="24"/>
          <w:shd w:val="clear" w:fill="FFFFFF"/>
        </w:rPr>
        <w:br w:type="textWrapping"/>
      </w:r>
      <w:r>
        <w:rPr>
          <w:rFonts w:hint="eastAsia" w:ascii="微软雅黑" w:hAnsi="微软雅黑" w:eastAsia="微软雅黑" w:cs="微软雅黑"/>
          <w:i w:val="0"/>
          <w:caps w:val="0"/>
          <w:color w:val="666666"/>
          <w:spacing w:val="0"/>
          <w:sz w:val="24"/>
          <w:szCs w:val="24"/>
          <w:shd w:val="clear" w:fill="FFFFFF"/>
        </w:rPr>
        <w:t>4、在非关联参考方向情况下,上述结论恰好都反一反,即当元件功率为正值时,表明该元件发出功率；当元件功率为负值时,表明该元件消耗功率.</w:t>
      </w:r>
      <w:bookmarkStart w:id="0" w:name="_GoBack"/>
      <w:bookmarkEnd w:id="0"/>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9293955"/>
      <w:docPartObj>
        <w:docPartGallery w:val="AutoText"/>
      </w:docPartObj>
    </w:sdtPr>
    <w:sdtContent>
      <w:p>
        <w:pPr>
          <w:pStyle w:val="3"/>
          <w:jc w:val="center"/>
        </w:pPr>
        <w:r>
          <w:fldChar w:fldCharType="begin"/>
        </w:r>
        <w:r>
          <w:instrText xml:space="preserve">PAGE  \* ArabicDash  \* MERGEFORMAT </w:instrText>
        </w:r>
        <w:r>
          <w:fldChar w:fldCharType="separate"/>
        </w:r>
        <w:r>
          <w:t>- 1 -</w:t>
        </w:r>
        <w:r>
          <w:fldChar w:fldCharType="end"/>
        </w:r>
      </w:p>
    </w:sdtContent>
  </w:sdt>
  <w:p>
    <w:pPr>
      <w:pStyle w:val="3"/>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B069B217"/>
    <w:multiLevelType w:val="singleLevel"/>
    <w:tmpl w:val="B069B217"/>
    <w:lvl w:ilvl="0" w:tentative="0">
      <w:start w:val="2"/>
      <w:numFmt w:val="decimal"/>
      <w:lvlText w:val="%1."/>
      <w:lvlJc w:val="left"/>
      <w:pPr>
        <w:tabs>
          <w:tab w:val="left" w:pos="312"/>
        </w:tabs>
      </w:pPr>
    </w:lvl>
  </w:abstractNum>
  <w:abstractNum w:abstractNumId="1">
    <w:nsid w:val="E494AF9E"/>
    <w:multiLevelType w:val="singleLevel"/>
    <w:tmpl w:val="E494AF9E"/>
    <w:lvl w:ilvl="0" w:tentative="0">
      <w:start w:val="3"/>
      <w:numFmt w:val="decimal"/>
      <w:lvlText w:val="%1."/>
      <w:lvlJc w:val="left"/>
      <w:pPr>
        <w:tabs>
          <w:tab w:val="left" w:pos="312"/>
        </w:tabs>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4B68A5"/>
    <w:rsid w:val="000210CF"/>
    <w:rsid w:val="00054219"/>
    <w:rsid w:val="000D7C3A"/>
    <w:rsid w:val="00165E69"/>
    <w:rsid w:val="001673EE"/>
    <w:rsid w:val="001C47CA"/>
    <w:rsid w:val="001E65F0"/>
    <w:rsid w:val="001F7B66"/>
    <w:rsid w:val="00226FD3"/>
    <w:rsid w:val="002B7A65"/>
    <w:rsid w:val="002F60CE"/>
    <w:rsid w:val="00341136"/>
    <w:rsid w:val="00353D3B"/>
    <w:rsid w:val="003734D1"/>
    <w:rsid w:val="003B077D"/>
    <w:rsid w:val="004061C1"/>
    <w:rsid w:val="004351E4"/>
    <w:rsid w:val="00495DDC"/>
    <w:rsid w:val="004B68A5"/>
    <w:rsid w:val="004D48D3"/>
    <w:rsid w:val="00507EF6"/>
    <w:rsid w:val="00534BFA"/>
    <w:rsid w:val="00694DCE"/>
    <w:rsid w:val="006B5AFA"/>
    <w:rsid w:val="00743EA7"/>
    <w:rsid w:val="007B12E2"/>
    <w:rsid w:val="00966C6E"/>
    <w:rsid w:val="009A4B1A"/>
    <w:rsid w:val="009E5655"/>
    <w:rsid w:val="00A04C43"/>
    <w:rsid w:val="00A15C02"/>
    <w:rsid w:val="00A64592"/>
    <w:rsid w:val="00B161D7"/>
    <w:rsid w:val="00B91160"/>
    <w:rsid w:val="00C4688F"/>
    <w:rsid w:val="00C507B2"/>
    <w:rsid w:val="00C74A36"/>
    <w:rsid w:val="00C84AFA"/>
    <w:rsid w:val="00C9467E"/>
    <w:rsid w:val="00CA2CA5"/>
    <w:rsid w:val="00D8220C"/>
    <w:rsid w:val="00D84CD3"/>
    <w:rsid w:val="00DA2FA2"/>
    <w:rsid w:val="00E16E16"/>
    <w:rsid w:val="00E2553D"/>
    <w:rsid w:val="00EF5B9E"/>
    <w:rsid w:val="00F95F42"/>
    <w:rsid w:val="00FD1FAC"/>
    <w:rsid w:val="6BFC04DA"/>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0"/>
    <w:semiHidden/>
    <w:unhideWhenUsed/>
    <w:qFormat/>
    <w:uiPriority w:val="99"/>
    <w:rPr>
      <w:sz w:val="18"/>
      <w:szCs w:val="18"/>
    </w:rPr>
  </w:style>
  <w:style w:type="paragraph" w:styleId="3">
    <w:name w:val="footer"/>
    <w:basedOn w:val="1"/>
    <w:link w:val="9"/>
    <w:unhideWhenUsed/>
    <w:uiPriority w:val="99"/>
    <w:pPr>
      <w:tabs>
        <w:tab w:val="center" w:pos="4153"/>
        <w:tab w:val="right" w:pos="8306"/>
      </w:tabs>
      <w:snapToGrid w:val="0"/>
      <w:jc w:val="left"/>
    </w:pPr>
    <w:rPr>
      <w:sz w:val="18"/>
      <w:szCs w:val="18"/>
    </w:rPr>
  </w:style>
  <w:style w:type="paragraph" w:styleId="4">
    <w:name w:val="header"/>
    <w:basedOn w:val="1"/>
    <w:link w:val="8"/>
    <w:unhideWhenUsed/>
    <w:qFormat/>
    <w:uiPriority w:val="99"/>
    <w:pPr>
      <w:tabs>
        <w:tab w:val="center" w:pos="4153"/>
        <w:tab w:val="right" w:pos="8306"/>
      </w:tabs>
      <w:snapToGrid w:val="0"/>
      <w:jc w:val="center"/>
    </w:pPr>
    <w:rPr>
      <w:sz w:val="18"/>
      <w:szCs w:val="18"/>
    </w:rPr>
  </w:style>
  <w:style w:type="table" w:styleId="6">
    <w:name w:val="Table Grid"/>
    <w:basedOn w:val="5"/>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customStyle="1" w:styleId="8">
    <w:name w:val="页眉 Char"/>
    <w:basedOn w:val="7"/>
    <w:link w:val="4"/>
    <w:qFormat/>
    <w:uiPriority w:val="99"/>
    <w:rPr>
      <w:rFonts w:ascii="Times New Roman" w:hAnsi="Times New Roman" w:eastAsia="宋体" w:cs="Times New Roman"/>
      <w:sz w:val="18"/>
      <w:szCs w:val="18"/>
    </w:rPr>
  </w:style>
  <w:style w:type="character" w:customStyle="1" w:styleId="9">
    <w:name w:val="页脚 Char"/>
    <w:basedOn w:val="7"/>
    <w:link w:val="3"/>
    <w:qFormat/>
    <w:uiPriority w:val="99"/>
    <w:rPr>
      <w:rFonts w:ascii="Times New Roman" w:hAnsi="Times New Roman" w:eastAsia="宋体" w:cs="Times New Roman"/>
      <w:sz w:val="18"/>
      <w:szCs w:val="18"/>
    </w:rPr>
  </w:style>
  <w:style w:type="character" w:customStyle="1" w:styleId="10">
    <w:name w:val="批注框文本 Char"/>
    <w:basedOn w:val="7"/>
    <w:link w:val="2"/>
    <w:semiHidden/>
    <w:qFormat/>
    <w:uiPriority w:val="99"/>
    <w:rPr>
      <w:rFonts w:ascii="Times New Roman" w:hAnsi="Times New Roman" w:eastAsia="宋体" w:cs="Times New Roman"/>
      <w:sz w:val="18"/>
      <w:szCs w:val="18"/>
    </w:rPr>
  </w:style>
  <w:style w:type="paragraph" w:styleId="11">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image" Target="media/image5.jpeg"/><Relationship Id="rId8" Type="http://schemas.openxmlformats.org/officeDocument/2006/relationships/image" Target="media/image4.jpeg"/><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image" Target="media/image8.png"/><Relationship Id="rId11" Type="http://schemas.openxmlformats.org/officeDocument/2006/relationships/image" Target="media/image7.jpeg"/><Relationship Id="rId10" Type="http://schemas.openxmlformats.org/officeDocument/2006/relationships/image" Target="media/image6.jpe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1</Pages>
  <Words>5</Words>
  <Characters>33</Characters>
  <Lines>1</Lines>
  <Paragraphs>1</Paragraphs>
  <TotalTime>16</TotalTime>
  <ScaleCrop>false</ScaleCrop>
  <LinksUpToDate>false</LinksUpToDate>
  <CharactersWithSpaces>37</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2018-03-05T02:52:00Z</dcterms:created>
  <dc:creator>User</dc:creator>
  <cp:lastModifiedBy>A王老师</cp:lastModifiedBy>
  <dcterms:modified xsi:type="dcterms:W3CDTF">2021-06-07T08:46:34Z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